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1A4" w:rsidRDefault="008E393F">
      <w:pPr>
        <w:pStyle w:val="Corpodetexto"/>
        <w:spacing w:before="68"/>
        <w:ind w:left="215"/>
        <w:jc w:val="center"/>
      </w:pPr>
      <w:r>
        <w:rPr>
          <w:spacing w:val="-2"/>
        </w:rPr>
        <w:t>COORDENADORIA</w:t>
      </w:r>
      <w:r>
        <w:rPr>
          <w:spacing w:val="2"/>
        </w:rPr>
        <w:t xml:space="preserve"> </w:t>
      </w:r>
      <w:r>
        <w:rPr>
          <w:spacing w:val="-2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SEGURANÇA</w:t>
      </w:r>
      <w:r>
        <w:rPr>
          <w:spacing w:val="2"/>
        </w:rPr>
        <w:t xml:space="preserve"> </w:t>
      </w:r>
      <w:r>
        <w:rPr>
          <w:spacing w:val="-2"/>
        </w:rPr>
        <w:t>INSTITUCIONAL</w:t>
      </w:r>
      <w:r>
        <w:rPr>
          <w:spacing w:val="-3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 xml:space="preserve"> </w:t>
      </w:r>
      <w:r>
        <w:rPr>
          <w:spacing w:val="-2"/>
        </w:rPr>
        <w:t>TRANSPORTE</w:t>
      </w:r>
    </w:p>
    <w:p w:rsidR="007211A4" w:rsidRDefault="008E393F">
      <w:pPr>
        <w:pStyle w:val="Heading1"/>
        <w:tabs>
          <w:tab w:val="left" w:pos="3933"/>
          <w:tab w:val="left" w:pos="8776"/>
        </w:tabs>
        <w:spacing w:before="4"/>
        <w:ind w:left="215"/>
        <w:jc w:val="center"/>
      </w:pPr>
      <w:r>
        <w:rPr>
          <w:color w:val="000000"/>
          <w:shd w:val="clear" w:color="auto" w:fill="C0C0C0"/>
        </w:rPr>
        <w:tab/>
        <w:t>PROAD</w:t>
      </w:r>
      <w:r>
        <w:rPr>
          <w:color w:val="000000"/>
          <w:spacing w:val="-12"/>
          <w:shd w:val="clear" w:color="auto" w:fill="C0C0C0"/>
        </w:rPr>
        <w:t xml:space="preserve"> </w:t>
      </w:r>
      <w:r>
        <w:rPr>
          <w:color w:val="000000"/>
          <w:spacing w:val="-5"/>
          <w:shd w:val="clear" w:color="auto" w:fill="C0C0C0"/>
        </w:rPr>
        <w:t>nº</w:t>
      </w:r>
      <w:r>
        <w:rPr>
          <w:color w:val="000000"/>
          <w:shd w:val="clear" w:color="auto" w:fill="C0C0C0"/>
        </w:rPr>
        <w:tab/>
      </w:r>
    </w:p>
    <w:p w:rsidR="007211A4" w:rsidRDefault="007211A4">
      <w:pPr>
        <w:pStyle w:val="Corpodetexto"/>
        <w:rPr>
          <w:b/>
        </w:rPr>
      </w:pPr>
    </w:p>
    <w:p w:rsidR="007211A4" w:rsidRDefault="008E393F">
      <w:pPr>
        <w:spacing w:before="1"/>
        <w:ind w:left="1115" w:right="330" w:firstLine="1224"/>
        <w:rPr>
          <w:b/>
          <w:sz w:val="24"/>
        </w:rPr>
      </w:pPr>
      <w:r>
        <w:rPr>
          <w:b/>
          <w:sz w:val="24"/>
        </w:rPr>
        <w:t xml:space="preserve">TERMO DE REFERÊNCIA – ANEXO III </w:t>
      </w:r>
      <w:r>
        <w:rPr>
          <w:sz w:val="24"/>
        </w:rPr>
        <w:t>CONTRATAÇÃO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SERVIÇOS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CONDUÇÃO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VEÍCULOS </w:t>
      </w:r>
      <w:r>
        <w:rPr>
          <w:b/>
          <w:sz w:val="24"/>
        </w:rPr>
        <w:t>CONTA VINCULADA PARA QUITAÇÃO DE OBRIGAÇÕES</w:t>
      </w:r>
    </w:p>
    <w:p w:rsidR="007211A4" w:rsidRDefault="008E393F">
      <w:pPr>
        <w:pStyle w:val="Heading1"/>
        <w:ind w:left="3594"/>
      </w:pPr>
      <w:r>
        <w:rPr>
          <w:spacing w:val="-2"/>
        </w:rPr>
        <w:t>TRABALHISTAS</w:t>
      </w:r>
    </w:p>
    <w:p w:rsidR="007211A4" w:rsidRDefault="008E393F">
      <w:pPr>
        <w:spacing w:before="276"/>
        <w:ind w:left="213"/>
        <w:jc w:val="center"/>
        <w:rPr>
          <w:b/>
          <w:sz w:val="24"/>
        </w:rPr>
      </w:pPr>
      <w:r>
        <w:rPr>
          <w:b/>
          <w:sz w:val="24"/>
        </w:rPr>
        <w:t>ATO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TRT7.GP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32,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29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MARÇO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pacing w:val="-4"/>
          <w:sz w:val="24"/>
        </w:rPr>
        <w:t>2021</w:t>
      </w:r>
    </w:p>
    <w:p w:rsidR="007211A4" w:rsidRDefault="008E393F">
      <w:pPr>
        <w:pStyle w:val="Corpodetexto"/>
        <w:spacing w:before="273" w:line="360" w:lineRule="auto"/>
        <w:ind w:left="3968" w:right="65"/>
        <w:jc w:val="both"/>
      </w:pPr>
      <w:r>
        <w:t>Dispõe sobre procedimentos inerentes às provisões de encargos trabalhistas a serem pagos pelo Tribunal Regional do Trabalho da 7ª Região (TRT7) às empresas contratadas para prestar serviço de forma contínua e com mão de obra residente nas dependências do T</w:t>
      </w:r>
      <w:r>
        <w:t>RT7 e revoga o Ato TRT7.GP nº 82/2016.</w:t>
      </w:r>
    </w:p>
    <w:p w:rsidR="007211A4" w:rsidRDefault="007211A4">
      <w:pPr>
        <w:pStyle w:val="Corpodetexto"/>
        <w:spacing w:before="143"/>
      </w:pPr>
    </w:p>
    <w:p w:rsidR="007211A4" w:rsidRDefault="008E393F">
      <w:pPr>
        <w:pStyle w:val="Heading1"/>
        <w:ind w:left="217"/>
        <w:jc w:val="center"/>
      </w:pPr>
      <w:r>
        <w:t>A</w:t>
      </w:r>
      <w:r>
        <w:rPr>
          <w:spacing w:val="30"/>
        </w:rPr>
        <w:t xml:space="preserve">  </w:t>
      </w:r>
      <w:r>
        <w:t>DESEMBARGADORA-PRESIDENTE</w:t>
      </w:r>
      <w:r>
        <w:rPr>
          <w:spacing w:val="31"/>
        </w:rPr>
        <w:t xml:space="preserve">  </w:t>
      </w:r>
      <w:r>
        <w:t>DO</w:t>
      </w:r>
      <w:r>
        <w:rPr>
          <w:spacing w:val="30"/>
        </w:rPr>
        <w:t xml:space="preserve">  </w:t>
      </w:r>
      <w:r>
        <w:t>TRIBUNAL</w:t>
      </w:r>
      <w:r>
        <w:rPr>
          <w:spacing w:val="31"/>
        </w:rPr>
        <w:t xml:space="preserve">  </w:t>
      </w:r>
      <w:r>
        <w:t>REGIONAL</w:t>
      </w:r>
      <w:r>
        <w:rPr>
          <w:spacing w:val="31"/>
        </w:rPr>
        <w:t xml:space="preserve">  </w:t>
      </w:r>
      <w:r>
        <w:rPr>
          <w:spacing w:val="-5"/>
        </w:rPr>
        <w:t>DO</w:t>
      </w:r>
    </w:p>
    <w:p w:rsidR="007211A4" w:rsidRDefault="008E393F">
      <w:pPr>
        <w:spacing w:before="135"/>
        <w:ind w:left="284"/>
        <w:jc w:val="both"/>
        <w:rPr>
          <w:sz w:val="24"/>
        </w:rPr>
      </w:pPr>
      <w:r>
        <w:rPr>
          <w:b/>
          <w:sz w:val="24"/>
        </w:rPr>
        <w:t>TRABALHO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7ª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REGIÃO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uso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suas</w:t>
      </w:r>
      <w:r>
        <w:rPr>
          <w:spacing w:val="-5"/>
          <w:sz w:val="24"/>
        </w:rPr>
        <w:t xml:space="preserve"> </w:t>
      </w:r>
      <w:r>
        <w:rPr>
          <w:sz w:val="24"/>
        </w:rPr>
        <w:t>atribuições</w:t>
      </w:r>
      <w:r>
        <w:rPr>
          <w:spacing w:val="-6"/>
          <w:sz w:val="24"/>
        </w:rPr>
        <w:t xml:space="preserve"> </w:t>
      </w:r>
      <w:r>
        <w:rPr>
          <w:sz w:val="24"/>
        </w:rPr>
        <w:t>legais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regimentais,</w:t>
      </w:r>
    </w:p>
    <w:p w:rsidR="007211A4" w:rsidRDefault="007211A4">
      <w:pPr>
        <w:pStyle w:val="Corpodetexto"/>
      </w:pPr>
    </w:p>
    <w:p w:rsidR="007211A4" w:rsidRDefault="007211A4">
      <w:pPr>
        <w:pStyle w:val="Corpodetexto"/>
      </w:pPr>
    </w:p>
    <w:p w:rsidR="007211A4" w:rsidRDefault="008E393F">
      <w:pPr>
        <w:pStyle w:val="Corpodetexto"/>
        <w:spacing w:line="360" w:lineRule="auto"/>
        <w:ind w:left="284" w:right="64"/>
        <w:jc w:val="both"/>
      </w:pPr>
      <w:r>
        <w:rPr>
          <w:b/>
        </w:rPr>
        <w:t xml:space="preserve">CONSIDERANDO </w:t>
      </w:r>
      <w:r>
        <w:t>que a Administração Pública, na prática de atos administrativos, nos termos do disposto no artigo 14 do Decreto-Lei nº 200, de 25 de fevereiro de 1967, deve observar os princípios da racionalidade e da economicidade;</w:t>
      </w:r>
    </w:p>
    <w:p w:rsidR="007211A4" w:rsidRDefault="007211A4">
      <w:pPr>
        <w:pStyle w:val="Corpodetexto"/>
        <w:spacing w:before="138"/>
      </w:pPr>
    </w:p>
    <w:p w:rsidR="007211A4" w:rsidRDefault="008E393F">
      <w:pPr>
        <w:pStyle w:val="Corpodetexto"/>
        <w:spacing w:line="360" w:lineRule="auto"/>
        <w:ind w:left="284" w:right="65"/>
        <w:jc w:val="both"/>
      </w:pPr>
      <w:r>
        <w:rPr>
          <w:b/>
        </w:rPr>
        <w:t xml:space="preserve">CONSIDERANDO </w:t>
      </w:r>
      <w:r>
        <w:t>que o inadimplemento das obrigações trabalhistas pela empresa contratada para prestar serviço, mediante locação de mão de obra, poderá implicar a responsabilidade subsidiária do Tribunal Regional do Trabalho da 7ª Região, caso seja constatada a omissão cul</w:t>
      </w:r>
      <w:r>
        <w:t>posa da Administração em relação à fiscalização do contrato, conforme a Ação Declaratória de Constitucionalidade nº 16;</w:t>
      </w:r>
    </w:p>
    <w:p w:rsidR="007211A4" w:rsidRDefault="007211A4">
      <w:pPr>
        <w:pStyle w:val="Corpodetexto"/>
        <w:spacing w:before="138"/>
      </w:pPr>
    </w:p>
    <w:p w:rsidR="007211A4" w:rsidRDefault="008E393F">
      <w:pPr>
        <w:pStyle w:val="Corpodetexto"/>
        <w:spacing w:line="360" w:lineRule="auto"/>
        <w:ind w:left="284" w:right="66"/>
        <w:jc w:val="both"/>
      </w:pPr>
      <w:r>
        <w:rPr>
          <w:b/>
        </w:rPr>
        <w:t xml:space="preserve">CONSIDERANDO </w:t>
      </w:r>
      <w:r>
        <w:t>que os valores referentes às provisões de encargos trabalhistas são pagos</w:t>
      </w:r>
      <w:r>
        <w:rPr>
          <w:spacing w:val="-3"/>
        </w:rPr>
        <w:t xml:space="preserve"> </w:t>
      </w:r>
      <w:r>
        <w:t>mensalmente</w:t>
      </w:r>
      <w:r>
        <w:rPr>
          <w:spacing w:val="-4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empresa,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título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reserva,</w:t>
      </w:r>
      <w:r>
        <w:rPr>
          <w:spacing w:val="-2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utilização</w:t>
      </w:r>
      <w:r>
        <w:rPr>
          <w:spacing w:val="-3"/>
        </w:rPr>
        <w:t xml:space="preserve"> </w:t>
      </w:r>
      <w:r>
        <w:t>nas</w:t>
      </w:r>
      <w:r>
        <w:rPr>
          <w:spacing w:val="-3"/>
        </w:rPr>
        <w:t xml:space="preserve"> </w:t>
      </w:r>
      <w:r>
        <w:t>situações</w:t>
      </w:r>
      <w:r>
        <w:rPr>
          <w:spacing w:val="-3"/>
        </w:rPr>
        <w:t xml:space="preserve"> </w:t>
      </w:r>
      <w:r>
        <w:t>previstas em lei;</w:t>
      </w:r>
    </w:p>
    <w:p w:rsidR="007211A4" w:rsidRDefault="007211A4">
      <w:pPr>
        <w:pStyle w:val="Corpodetexto"/>
        <w:spacing w:before="136"/>
      </w:pPr>
    </w:p>
    <w:p w:rsidR="007211A4" w:rsidRDefault="008E393F">
      <w:pPr>
        <w:pStyle w:val="Corpodetexto"/>
        <w:spacing w:line="360" w:lineRule="auto"/>
        <w:ind w:left="284" w:right="64"/>
        <w:jc w:val="both"/>
      </w:pPr>
      <w:r>
        <w:rPr>
          <w:b/>
        </w:rPr>
        <w:t xml:space="preserve">CONSIDERANDO </w:t>
      </w:r>
      <w:r>
        <w:t>os termos da Resolução do Conselho Nacional de Justiça (CNJ) nº 98,</w:t>
      </w:r>
      <w:r>
        <w:rPr>
          <w:spacing w:val="31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10</w:t>
      </w:r>
      <w:r>
        <w:rPr>
          <w:spacing w:val="31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novembro</w:t>
      </w:r>
      <w:r>
        <w:rPr>
          <w:spacing w:val="33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2009</w:t>
      </w:r>
      <w:r>
        <w:rPr>
          <w:spacing w:val="33"/>
        </w:rPr>
        <w:t xml:space="preserve"> </w:t>
      </w:r>
      <w:r>
        <w:t>e</w:t>
      </w:r>
      <w:r>
        <w:rPr>
          <w:spacing w:val="31"/>
        </w:rPr>
        <w:t xml:space="preserve"> </w:t>
      </w:r>
      <w:r>
        <w:t>suas</w:t>
      </w:r>
      <w:r>
        <w:rPr>
          <w:spacing w:val="34"/>
        </w:rPr>
        <w:t xml:space="preserve"> </w:t>
      </w:r>
      <w:r>
        <w:t>alterações</w:t>
      </w:r>
      <w:r>
        <w:rPr>
          <w:b/>
        </w:rPr>
        <w:t>,</w:t>
      </w:r>
      <w:r>
        <w:rPr>
          <w:b/>
          <w:spacing w:val="31"/>
        </w:rPr>
        <w:t xml:space="preserve"> </w:t>
      </w:r>
      <w:r>
        <w:t>que</w:t>
      </w:r>
      <w:r>
        <w:rPr>
          <w:spacing w:val="31"/>
        </w:rPr>
        <w:t xml:space="preserve"> </w:t>
      </w:r>
      <w:r>
        <w:t>dispõe</w:t>
      </w:r>
      <w:r>
        <w:rPr>
          <w:spacing w:val="30"/>
        </w:rPr>
        <w:t xml:space="preserve"> </w:t>
      </w:r>
      <w:r>
        <w:t>sobre</w:t>
      </w:r>
      <w:r>
        <w:rPr>
          <w:spacing w:val="31"/>
        </w:rPr>
        <w:t xml:space="preserve"> </w:t>
      </w:r>
      <w:r>
        <w:t>as</w:t>
      </w:r>
      <w:r>
        <w:rPr>
          <w:spacing w:val="36"/>
        </w:rPr>
        <w:t xml:space="preserve"> </w:t>
      </w:r>
      <w:r>
        <w:t>provisões</w:t>
      </w:r>
      <w:r>
        <w:rPr>
          <w:spacing w:val="32"/>
        </w:rPr>
        <w:t xml:space="preserve"> </w:t>
      </w:r>
      <w:r>
        <w:rPr>
          <w:spacing w:val="-5"/>
        </w:rPr>
        <w:t>de</w:t>
      </w:r>
    </w:p>
    <w:p w:rsidR="007211A4" w:rsidRDefault="008E393F">
      <w:pPr>
        <w:rPr>
          <w:sz w:val="11"/>
        </w:rPr>
      </w:pPr>
      <w:r>
        <w:br w:type="column"/>
      </w:r>
    </w:p>
    <w:p w:rsidR="007211A4" w:rsidRDefault="007211A4">
      <w:pPr>
        <w:pStyle w:val="Corpodetexto"/>
        <w:rPr>
          <w:sz w:val="11"/>
        </w:rPr>
      </w:pPr>
    </w:p>
    <w:p w:rsidR="007211A4" w:rsidRDefault="007211A4">
      <w:pPr>
        <w:pStyle w:val="Corpodetexto"/>
        <w:rPr>
          <w:sz w:val="11"/>
        </w:rPr>
      </w:pPr>
    </w:p>
    <w:p w:rsidR="007211A4" w:rsidRDefault="007211A4">
      <w:pPr>
        <w:pStyle w:val="Corpodetexto"/>
        <w:rPr>
          <w:sz w:val="11"/>
        </w:rPr>
      </w:pPr>
    </w:p>
    <w:p w:rsidR="007211A4" w:rsidRDefault="007211A4">
      <w:pPr>
        <w:pStyle w:val="Corpodetexto"/>
        <w:spacing w:before="48"/>
        <w:rPr>
          <w:sz w:val="11"/>
        </w:rPr>
      </w:pPr>
    </w:p>
    <w:p w:rsidR="007211A4" w:rsidRDefault="008E393F">
      <w:pPr>
        <w:spacing w:line="208" w:lineRule="auto"/>
        <w:ind w:left="642" w:right="105"/>
        <w:rPr>
          <w:i/>
          <w:sz w:val="11"/>
        </w:rPr>
      </w:pPr>
      <w:r>
        <w:rPr>
          <w:i/>
          <w:spacing w:val="-4"/>
          <w:sz w:val="11"/>
        </w:rPr>
        <w:t>LUIZ</w:t>
      </w:r>
      <w:r>
        <w:rPr>
          <w:i/>
          <w:spacing w:val="40"/>
          <w:sz w:val="11"/>
        </w:rPr>
        <w:t xml:space="preserve"> </w:t>
      </w:r>
      <w:r>
        <w:rPr>
          <w:i/>
          <w:spacing w:val="-4"/>
          <w:sz w:val="11"/>
        </w:rPr>
        <w:t>JOEL</w:t>
      </w:r>
      <w:r>
        <w:rPr>
          <w:i/>
          <w:spacing w:val="40"/>
          <w:sz w:val="11"/>
        </w:rPr>
        <w:t xml:space="preserve"> </w:t>
      </w:r>
      <w:r>
        <w:rPr>
          <w:i/>
          <w:spacing w:val="-6"/>
          <w:sz w:val="11"/>
        </w:rPr>
        <w:t>DE</w:t>
      </w:r>
      <w:r>
        <w:rPr>
          <w:i/>
          <w:spacing w:val="40"/>
          <w:sz w:val="11"/>
        </w:rPr>
        <w:t xml:space="preserve"> </w:t>
      </w:r>
      <w:r>
        <w:rPr>
          <w:i/>
          <w:spacing w:val="-4"/>
          <w:sz w:val="11"/>
        </w:rPr>
        <w:t>MELO</w:t>
      </w:r>
    </w:p>
    <w:p w:rsidR="007211A4" w:rsidRDefault="008E393F">
      <w:pPr>
        <w:spacing w:line="89" w:lineRule="exact"/>
        <w:ind w:left="271"/>
        <w:rPr>
          <w:i/>
          <w:sz w:val="9"/>
        </w:rPr>
      </w:pPr>
      <w:r>
        <w:rPr>
          <w:i/>
          <w:noProof/>
          <w:sz w:val="9"/>
          <w:lang w:val="pt-BR" w:eastAsia="pt-BR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6962245</wp:posOffset>
            </wp:positionH>
            <wp:positionV relativeFrom="paragraph">
              <wp:posOffset>-245509</wp:posOffset>
            </wp:positionV>
            <wp:extent cx="160760" cy="247438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760" cy="2474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9"/>
        </w:rPr>
        <w:t>05/04/2024</w:t>
      </w:r>
      <w:r>
        <w:rPr>
          <w:i/>
          <w:spacing w:val="4"/>
          <w:sz w:val="9"/>
        </w:rPr>
        <w:t xml:space="preserve"> </w:t>
      </w:r>
      <w:r>
        <w:rPr>
          <w:i/>
          <w:spacing w:val="-2"/>
          <w:sz w:val="9"/>
        </w:rPr>
        <w:t>16:42</w:t>
      </w:r>
    </w:p>
    <w:p w:rsidR="007211A4" w:rsidRDefault="007211A4">
      <w:pPr>
        <w:spacing w:line="89" w:lineRule="exact"/>
        <w:rPr>
          <w:i/>
          <w:sz w:val="9"/>
        </w:rPr>
        <w:sectPr w:rsidR="007211A4">
          <w:type w:val="continuous"/>
          <w:pgSz w:w="11900" w:h="16840"/>
          <w:pgMar w:top="1340" w:right="141" w:bottom="280" w:left="1417" w:header="720" w:footer="720" w:gutter="0"/>
          <w:cols w:num="2" w:space="720" w:equalWidth="0">
            <w:col w:w="8857" w:space="434"/>
            <w:col w:w="1051"/>
          </w:cols>
        </w:sectPr>
      </w:pPr>
    </w:p>
    <w:p w:rsidR="007211A4" w:rsidRDefault="008E393F">
      <w:pPr>
        <w:pStyle w:val="Corpodetexto"/>
        <w:spacing w:before="70" w:line="360" w:lineRule="auto"/>
        <w:ind w:left="284" w:right="1553"/>
        <w:jc w:val="both"/>
      </w:pPr>
      <w:r>
        <w:lastRenderedPageBreak/>
        <w:t>encargos trabalhistas a serem pagos pelos Tribunais às empresas contratadas para</w:t>
      </w:r>
      <w:r>
        <w:rPr>
          <w:spacing w:val="40"/>
        </w:rPr>
        <w:t xml:space="preserve"> </w:t>
      </w:r>
      <w:r>
        <w:t>prestar serviço de forma contínua no âmbito do Poder Judiciário;</w:t>
      </w:r>
    </w:p>
    <w:p w:rsidR="007211A4" w:rsidRDefault="007211A4">
      <w:pPr>
        <w:pStyle w:val="Corpodetexto"/>
        <w:spacing w:before="139"/>
      </w:pPr>
    </w:p>
    <w:p w:rsidR="007211A4" w:rsidRDefault="008E393F">
      <w:pPr>
        <w:pStyle w:val="Corpodetexto"/>
        <w:spacing w:line="360" w:lineRule="auto"/>
        <w:ind w:left="284" w:right="1549"/>
        <w:jc w:val="both"/>
      </w:pPr>
      <w:r>
        <w:rPr>
          <w:b/>
        </w:rPr>
        <w:t xml:space="preserve">CONSIDERANDO </w:t>
      </w:r>
      <w:r>
        <w:t>os termos da Resolução CNJ nº 169, de 10 de novembro de 2013 e suas alterações, que dispõe sobre a retenção de provisões de encargos trabalhistas, previdenciários e outros a serem pagos às empresas contratadas para prestar serviço, com mão de obra resident</w:t>
      </w:r>
      <w:r>
        <w:t>e nas dependências de unidades jurisdicionadas ao Conselho Nacional de Justiça;</w:t>
      </w:r>
    </w:p>
    <w:p w:rsidR="007211A4" w:rsidRDefault="007211A4">
      <w:pPr>
        <w:pStyle w:val="Corpodetexto"/>
        <w:spacing w:before="138"/>
      </w:pPr>
    </w:p>
    <w:p w:rsidR="007211A4" w:rsidRDefault="008E393F">
      <w:pPr>
        <w:pStyle w:val="Corpodetexto"/>
        <w:spacing w:before="1" w:line="360" w:lineRule="auto"/>
        <w:ind w:left="284" w:right="1549"/>
        <w:jc w:val="both"/>
      </w:pPr>
      <w:r>
        <w:rPr>
          <w:b/>
        </w:rPr>
        <w:t xml:space="preserve">CONSIDERANDO </w:t>
      </w:r>
      <w:r>
        <w:t>os termos da Instrução Normativa/SEGES/MP nº 05/2017 e suas alterações e da Lei nº 13.932, de 11 de dezembro de 2019, que extinguiu a cobrança da contribuição</w:t>
      </w:r>
      <w:r>
        <w:rPr>
          <w:spacing w:val="-3"/>
        </w:rPr>
        <w:t xml:space="preserve"> </w:t>
      </w:r>
      <w:r>
        <w:t>soc</w:t>
      </w:r>
      <w:r>
        <w:t>ial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10%</w:t>
      </w:r>
      <w:r>
        <w:rPr>
          <w:spacing w:val="-4"/>
        </w:rPr>
        <w:t xml:space="preserve"> </w:t>
      </w:r>
      <w:r>
        <w:t>(dez</w:t>
      </w:r>
      <w:r>
        <w:rPr>
          <w:spacing w:val="-2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cento)</w:t>
      </w:r>
      <w:r>
        <w:rPr>
          <w:spacing w:val="-4"/>
        </w:rPr>
        <w:t xml:space="preserve"> </w:t>
      </w:r>
      <w:r>
        <w:t>devida</w:t>
      </w:r>
      <w:r>
        <w:rPr>
          <w:spacing w:val="-2"/>
        </w:rPr>
        <w:t xml:space="preserve"> </w:t>
      </w:r>
      <w:r>
        <w:t>pelos</w:t>
      </w:r>
      <w:r>
        <w:rPr>
          <w:spacing w:val="-3"/>
        </w:rPr>
        <w:t xml:space="preserve"> </w:t>
      </w:r>
      <w:r>
        <w:t>empregadores</w:t>
      </w:r>
      <w:r>
        <w:rPr>
          <w:spacing w:val="-3"/>
        </w:rPr>
        <w:t xml:space="preserve"> </w:t>
      </w:r>
      <w:r>
        <w:t>sobre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montante de todos os depósitos devidos, referentes ao Fundo de Garantia do Tempo de Serviço (FGTS), em casos de despedida sem justa causa,</w:t>
      </w:r>
    </w:p>
    <w:p w:rsidR="007211A4" w:rsidRDefault="007211A4">
      <w:pPr>
        <w:pStyle w:val="Corpodetexto"/>
        <w:spacing w:before="142"/>
      </w:pPr>
    </w:p>
    <w:p w:rsidR="007211A4" w:rsidRDefault="008E393F">
      <w:pPr>
        <w:pStyle w:val="Heading1"/>
        <w:spacing w:before="1"/>
      </w:pPr>
      <w:r>
        <w:rPr>
          <w:spacing w:val="-2"/>
        </w:rPr>
        <w:t>RESOLVE:</w:t>
      </w:r>
    </w:p>
    <w:p w:rsidR="007211A4" w:rsidRDefault="007211A4">
      <w:pPr>
        <w:pStyle w:val="Corpodetexto"/>
        <w:spacing w:before="271"/>
        <w:rPr>
          <w:b/>
        </w:rPr>
      </w:pPr>
    </w:p>
    <w:p w:rsidR="007211A4" w:rsidRDefault="008E393F">
      <w:pPr>
        <w:pStyle w:val="Corpodetexto"/>
        <w:spacing w:line="360" w:lineRule="auto"/>
        <w:ind w:left="284" w:right="1548"/>
        <w:jc w:val="both"/>
      </w:pPr>
      <w:r>
        <w:rPr>
          <w:b/>
        </w:rPr>
        <w:t xml:space="preserve">Art. 1º </w:t>
      </w:r>
      <w:r>
        <w:t>Determinar que as provisões de encargos trabalhistas, relativas a férias, 1/3 constitucional, 13º salário e multa do FGTS por dispensa sem justa causa, bem como a incidência dos encargos previdenciários e FGTS sobre férias, 1/3 constitucional e 13º salário</w:t>
      </w:r>
      <w:r>
        <w:t>, a serem pagas às empresas contratadas para prestação de serviços, por meio de locação de mão de obra residente nas dependências do TRT7, sejam deduzidas do pagamento mensal e depositadas em banco oficial escolhido pela administração, observados os termos</w:t>
      </w:r>
      <w:r>
        <w:t xml:space="preserve"> deste Ato e demais normativos vigentes.</w:t>
      </w:r>
    </w:p>
    <w:p w:rsidR="007211A4" w:rsidRDefault="007211A4">
      <w:pPr>
        <w:pStyle w:val="Corpodetexto"/>
        <w:spacing w:before="138"/>
      </w:pPr>
    </w:p>
    <w:p w:rsidR="007211A4" w:rsidRDefault="008E393F">
      <w:pPr>
        <w:pStyle w:val="Corpodetexto"/>
        <w:spacing w:after="15" w:line="360" w:lineRule="auto"/>
        <w:ind w:left="284" w:right="1549"/>
        <w:jc w:val="both"/>
      </w:pPr>
      <w:r>
        <w:rPr>
          <w:b/>
        </w:rPr>
        <w:t xml:space="preserve">§ 1º </w:t>
      </w:r>
      <w:r>
        <w:t>As provisões para contingenciamento levarão em conta os percentuais abaixo definidos, extraídos do anexo XII, item 14 da Instrução Normativa/SEGES/MP nº 05/2017 e suas alterações, sendo que o montante mensal d</w:t>
      </w:r>
      <w:r>
        <w:t>o depósito vinculado será igual ao somatório dos valores dos seguintes encargos trabalhistas:</w:t>
      </w:r>
    </w:p>
    <w:tbl>
      <w:tblPr>
        <w:tblStyle w:val="TableNormal"/>
        <w:tblW w:w="0" w:type="auto"/>
        <w:tblInd w:w="143" w:type="dxa"/>
        <w:tblBorders>
          <w:top w:val="double" w:sz="8" w:space="0" w:color="000000"/>
          <w:left w:val="double" w:sz="8" w:space="0" w:color="000000"/>
          <w:bottom w:val="double" w:sz="8" w:space="0" w:color="000000"/>
          <w:right w:val="double" w:sz="8" w:space="0" w:color="000000"/>
          <w:insideH w:val="double" w:sz="8" w:space="0" w:color="000000"/>
          <w:insideV w:val="double" w:sz="8" w:space="0" w:color="000000"/>
        </w:tblBorders>
        <w:tblLayout w:type="fixed"/>
        <w:tblLook w:val="01E0"/>
      </w:tblPr>
      <w:tblGrid>
        <w:gridCol w:w="4123"/>
        <w:gridCol w:w="5515"/>
      </w:tblGrid>
      <w:tr w:rsidR="007211A4">
        <w:trPr>
          <w:trHeight w:val="447"/>
        </w:trPr>
        <w:tc>
          <w:tcPr>
            <w:tcW w:w="9638" w:type="dxa"/>
            <w:gridSpan w:val="2"/>
            <w:tcBorders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90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ITEM</w:t>
            </w:r>
          </w:p>
        </w:tc>
      </w:tr>
      <w:tr w:rsidR="007211A4">
        <w:trPr>
          <w:trHeight w:val="494"/>
        </w:trPr>
        <w:tc>
          <w:tcPr>
            <w:tcW w:w="4123" w:type="dxa"/>
            <w:tcBorders>
              <w:top w:val="single" w:sz="2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113"/>
              <w:ind w:left="114"/>
              <w:rPr>
                <w:sz w:val="24"/>
              </w:rPr>
            </w:pPr>
            <w:r>
              <w:rPr>
                <w:sz w:val="24"/>
              </w:rPr>
              <w:t>13º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(décimo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terceiro)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salário</w:t>
            </w:r>
          </w:p>
        </w:tc>
        <w:tc>
          <w:tcPr>
            <w:tcW w:w="5515" w:type="dxa"/>
            <w:tcBorders>
              <w:top w:val="single" w:sz="2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113"/>
              <w:ind w:left="22" w:right="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8,33%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(oito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vírgula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trinta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três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cento)</w:t>
            </w:r>
          </w:p>
        </w:tc>
      </w:tr>
      <w:tr w:rsidR="007211A4">
        <w:trPr>
          <w:trHeight w:val="466"/>
        </w:trPr>
        <w:tc>
          <w:tcPr>
            <w:tcW w:w="4123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94"/>
              <w:ind w:left="114"/>
              <w:rPr>
                <w:sz w:val="24"/>
              </w:rPr>
            </w:pPr>
            <w:r>
              <w:rPr>
                <w:sz w:val="24"/>
              </w:rPr>
              <w:t>Férias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1/3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(um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terço)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constitucional</w:t>
            </w:r>
          </w:p>
        </w:tc>
        <w:tc>
          <w:tcPr>
            <w:tcW w:w="5515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94"/>
              <w:ind w:left="2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12,10%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(doze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vírgula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cento)</w:t>
            </w:r>
          </w:p>
        </w:tc>
      </w:tr>
    </w:tbl>
    <w:p w:rsidR="007211A4" w:rsidRDefault="007211A4">
      <w:pPr>
        <w:pStyle w:val="TableParagraph"/>
        <w:jc w:val="center"/>
        <w:rPr>
          <w:sz w:val="24"/>
        </w:rPr>
        <w:sectPr w:rsidR="007211A4">
          <w:pgSz w:w="11900" w:h="16840"/>
          <w:pgMar w:top="1340" w:right="141" w:bottom="1644" w:left="1417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double" w:sz="8" w:space="0" w:color="000000"/>
          <w:left w:val="double" w:sz="8" w:space="0" w:color="000000"/>
          <w:bottom w:val="double" w:sz="8" w:space="0" w:color="000000"/>
          <w:right w:val="double" w:sz="8" w:space="0" w:color="000000"/>
          <w:insideH w:val="double" w:sz="8" w:space="0" w:color="000000"/>
          <w:insideV w:val="double" w:sz="8" w:space="0" w:color="000000"/>
        </w:tblBorders>
        <w:tblLayout w:type="fixed"/>
        <w:tblLook w:val="01E0"/>
      </w:tblPr>
      <w:tblGrid>
        <w:gridCol w:w="4123"/>
        <w:gridCol w:w="1821"/>
        <w:gridCol w:w="1833"/>
        <w:gridCol w:w="1859"/>
      </w:tblGrid>
      <w:tr w:rsidR="007211A4">
        <w:trPr>
          <w:trHeight w:val="234"/>
        </w:trPr>
        <w:tc>
          <w:tcPr>
            <w:tcW w:w="4123" w:type="dxa"/>
            <w:vMerge w:val="restart"/>
            <w:tcBorders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83"/>
              <w:ind w:left="114" w:right="8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Multa sobre FGTS e contribuição social sobre o aviso prévio indenizado e sobre o aviso prévio trabalhado</w:t>
            </w:r>
          </w:p>
        </w:tc>
        <w:tc>
          <w:tcPr>
            <w:tcW w:w="5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11A4" w:rsidRDefault="007211A4">
            <w:pPr>
              <w:pStyle w:val="TableParagraph"/>
              <w:rPr>
                <w:sz w:val="16"/>
              </w:rPr>
            </w:pPr>
          </w:p>
        </w:tc>
      </w:tr>
      <w:tr w:rsidR="007211A4">
        <w:trPr>
          <w:trHeight w:val="451"/>
        </w:trPr>
        <w:tc>
          <w:tcPr>
            <w:tcW w:w="4123" w:type="dxa"/>
            <w:vMerge/>
            <w:tcBorders>
              <w:top w:val="nil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211A4" w:rsidRDefault="007211A4">
            <w:pPr>
              <w:rPr>
                <w:sz w:val="2"/>
                <w:szCs w:val="2"/>
              </w:rPr>
            </w:pPr>
          </w:p>
        </w:tc>
        <w:tc>
          <w:tcPr>
            <w:tcW w:w="5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82"/>
              <w:ind w:left="1578"/>
              <w:rPr>
                <w:sz w:val="24"/>
              </w:rPr>
            </w:pPr>
            <w:r>
              <w:rPr>
                <w:b/>
                <w:sz w:val="24"/>
              </w:rPr>
              <w:t>4,00%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(cinco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cento)</w:t>
            </w:r>
          </w:p>
        </w:tc>
      </w:tr>
      <w:tr w:rsidR="007211A4">
        <w:trPr>
          <w:trHeight w:val="240"/>
        </w:trPr>
        <w:tc>
          <w:tcPr>
            <w:tcW w:w="4123" w:type="dxa"/>
            <w:vMerge/>
            <w:tcBorders>
              <w:top w:val="nil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211A4" w:rsidRDefault="007211A4">
            <w:pPr>
              <w:rPr>
                <w:sz w:val="2"/>
                <w:szCs w:val="2"/>
              </w:rPr>
            </w:pPr>
          </w:p>
        </w:tc>
        <w:tc>
          <w:tcPr>
            <w:tcW w:w="5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211A4" w:rsidRDefault="007211A4">
            <w:pPr>
              <w:pStyle w:val="TableParagraph"/>
              <w:rPr>
                <w:sz w:val="16"/>
              </w:rPr>
            </w:pPr>
          </w:p>
        </w:tc>
      </w:tr>
      <w:tr w:rsidR="007211A4">
        <w:trPr>
          <w:trHeight w:val="115"/>
        </w:trPr>
        <w:tc>
          <w:tcPr>
            <w:tcW w:w="412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11A4" w:rsidRDefault="007211A4">
            <w:pPr>
              <w:pStyle w:val="TableParagraph"/>
              <w:rPr>
                <w:sz w:val="6"/>
              </w:rPr>
            </w:pPr>
          </w:p>
        </w:tc>
        <w:tc>
          <w:tcPr>
            <w:tcW w:w="5513" w:type="dxa"/>
            <w:gridSpan w:val="3"/>
            <w:vMerge w:val="restart"/>
            <w:tcBorders>
              <w:top w:val="single" w:sz="1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108" w:line="242" w:lineRule="auto"/>
              <w:ind w:left="2459" w:hanging="2110"/>
              <w:rPr>
                <w:sz w:val="24"/>
              </w:rPr>
            </w:pPr>
            <w:r>
              <w:rPr>
                <w:b/>
                <w:sz w:val="24"/>
              </w:rPr>
              <w:t>24,43%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(vinte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quatro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vírgula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quarenta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três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por </w:t>
            </w:r>
            <w:r>
              <w:rPr>
                <w:spacing w:val="-2"/>
                <w:sz w:val="24"/>
              </w:rPr>
              <w:t>cento)</w:t>
            </w:r>
          </w:p>
        </w:tc>
      </w:tr>
      <w:tr w:rsidR="007211A4">
        <w:trPr>
          <w:trHeight w:val="436"/>
        </w:trPr>
        <w:tc>
          <w:tcPr>
            <w:tcW w:w="4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74"/>
              <w:ind w:left="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Subtotal</w:t>
            </w:r>
          </w:p>
        </w:tc>
        <w:tc>
          <w:tcPr>
            <w:tcW w:w="5513" w:type="dxa"/>
            <w:gridSpan w:val="3"/>
            <w:vMerge/>
            <w:tcBorders>
              <w:top w:val="nil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:rsidR="007211A4" w:rsidRDefault="007211A4">
            <w:pPr>
              <w:rPr>
                <w:sz w:val="2"/>
                <w:szCs w:val="2"/>
              </w:rPr>
            </w:pPr>
          </w:p>
        </w:tc>
      </w:tr>
      <w:tr w:rsidR="007211A4">
        <w:trPr>
          <w:trHeight w:val="95"/>
        </w:trPr>
        <w:tc>
          <w:tcPr>
            <w:tcW w:w="412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211A4" w:rsidRDefault="007211A4">
            <w:pPr>
              <w:pStyle w:val="TableParagraph"/>
              <w:rPr>
                <w:sz w:val="4"/>
              </w:rPr>
            </w:pPr>
          </w:p>
        </w:tc>
        <w:tc>
          <w:tcPr>
            <w:tcW w:w="5513" w:type="dxa"/>
            <w:gridSpan w:val="3"/>
            <w:vMerge/>
            <w:tcBorders>
              <w:top w:val="nil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:rsidR="007211A4" w:rsidRDefault="007211A4">
            <w:pPr>
              <w:rPr>
                <w:sz w:val="2"/>
                <w:szCs w:val="2"/>
              </w:rPr>
            </w:pPr>
          </w:p>
        </w:tc>
      </w:tr>
      <w:tr w:rsidR="007211A4">
        <w:trPr>
          <w:trHeight w:val="1010"/>
        </w:trPr>
        <w:tc>
          <w:tcPr>
            <w:tcW w:w="4123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91"/>
              <w:ind w:left="114" w:right="87"/>
              <w:jc w:val="both"/>
              <w:rPr>
                <w:sz w:val="24"/>
              </w:rPr>
            </w:pPr>
            <w:r>
              <w:rPr>
                <w:sz w:val="24"/>
              </w:rPr>
              <w:t>Incidência do Submódulo 4.1 sobre férias, 1/3 (um terço) constitucional de férias e 13º (décimo terceiro) salário*</w:t>
            </w:r>
          </w:p>
        </w:tc>
        <w:tc>
          <w:tcPr>
            <w:tcW w:w="1821" w:type="dxa"/>
            <w:tcBorders>
              <w:top w:val="single" w:sz="24" w:space="0" w:color="000000"/>
              <w:left w:val="single" w:sz="8" w:space="0" w:color="000000"/>
              <w:bottom w:val="thinThickMediumGap" w:sz="9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91"/>
              <w:ind w:left="114" w:right="8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7,39% </w:t>
            </w:r>
            <w:r>
              <w:rPr>
                <w:sz w:val="24"/>
              </w:rPr>
              <w:t>(sete vírgula trinta e nove por cento)</w:t>
            </w:r>
          </w:p>
        </w:tc>
        <w:tc>
          <w:tcPr>
            <w:tcW w:w="1833" w:type="dxa"/>
            <w:tcBorders>
              <w:top w:val="single" w:sz="24" w:space="0" w:color="000000"/>
              <w:left w:val="single" w:sz="8" w:space="0" w:color="000000"/>
              <w:bottom w:val="thinThickMediumGap" w:sz="9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91"/>
              <w:ind w:left="117" w:right="8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7,60% </w:t>
            </w:r>
            <w:r>
              <w:rPr>
                <w:sz w:val="24"/>
              </w:rPr>
              <w:t>(sete vírgula sessenta por cento)</w:t>
            </w:r>
          </w:p>
        </w:tc>
        <w:tc>
          <w:tcPr>
            <w:tcW w:w="1859" w:type="dxa"/>
            <w:tcBorders>
              <w:top w:val="single" w:sz="24" w:space="0" w:color="000000"/>
              <w:left w:val="single" w:sz="8" w:space="0" w:color="000000"/>
              <w:bottom w:val="thinThickMediumGap" w:sz="9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91"/>
              <w:ind w:left="118" w:right="8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7,82% </w:t>
            </w:r>
            <w:r>
              <w:rPr>
                <w:sz w:val="24"/>
              </w:rPr>
              <w:t xml:space="preserve">(sete vírgula oitenta e </w:t>
            </w:r>
            <w:r>
              <w:rPr>
                <w:spacing w:val="-2"/>
                <w:sz w:val="24"/>
              </w:rPr>
              <w:t>dois)</w:t>
            </w:r>
          </w:p>
        </w:tc>
      </w:tr>
      <w:tr w:rsidR="007211A4">
        <w:trPr>
          <w:trHeight w:val="383"/>
        </w:trPr>
        <w:tc>
          <w:tcPr>
            <w:tcW w:w="412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11A4" w:rsidRDefault="007211A4">
            <w:pPr>
              <w:pStyle w:val="TableParagraph"/>
            </w:pPr>
          </w:p>
        </w:tc>
        <w:tc>
          <w:tcPr>
            <w:tcW w:w="1821" w:type="dxa"/>
            <w:vMerge w:val="restart"/>
            <w:tcBorders>
              <w:top w:val="thickThinMediumGap" w:sz="9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96"/>
              <w:ind w:left="114" w:right="8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31,82%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(trinta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 um vírgula oitenta e dois por cento)</w:t>
            </w:r>
          </w:p>
        </w:tc>
        <w:tc>
          <w:tcPr>
            <w:tcW w:w="1833" w:type="dxa"/>
            <w:vMerge w:val="restart"/>
            <w:tcBorders>
              <w:top w:val="thickThinMediumGap" w:sz="9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96"/>
              <w:ind w:left="117" w:right="8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32,03%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(trinta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 dois vírgula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zero três por </w:t>
            </w:r>
            <w:r>
              <w:rPr>
                <w:spacing w:val="-2"/>
                <w:sz w:val="24"/>
              </w:rPr>
              <w:t>cento)</w:t>
            </w:r>
          </w:p>
        </w:tc>
        <w:tc>
          <w:tcPr>
            <w:tcW w:w="1859" w:type="dxa"/>
            <w:vMerge w:val="restart"/>
            <w:tcBorders>
              <w:top w:val="thickThinMediumGap" w:sz="9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96"/>
              <w:ind w:left="118" w:right="8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32,25% </w:t>
            </w:r>
            <w:r>
              <w:rPr>
                <w:sz w:val="24"/>
              </w:rPr>
              <w:t>(trinta e dois vírgula vinte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cinco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por </w:t>
            </w:r>
            <w:r>
              <w:rPr>
                <w:spacing w:val="-2"/>
                <w:sz w:val="24"/>
              </w:rPr>
              <w:t>cento)</w:t>
            </w:r>
          </w:p>
        </w:tc>
      </w:tr>
      <w:tr w:rsidR="007211A4">
        <w:trPr>
          <w:trHeight w:val="451"/>
        </w:trPr>
        <w:tc>
          <w:tcPr>
            <w:tcW w:w="4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11A4" w:rsidRDefault="008E393F">
            <w:pPr>
              <w:pStyle w:val="TableParagraph"/>
              <w:spacing w:before="87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1821" w:type="dxa"/>
            <w:vMerge/>
            <w:tcBorders>
              <w:top w:val="nil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211A4" w:rsidRDefault="007211A4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211A4" w:rsidRDefault="007211A4">
            <w:pPr>
              <w:rPr>
                <w:sz w:val="2"/>
                <w:szCs w:val="2"/>
              </w:rPr>
            </w:pPr>
          </w:p>
        </w:tc>
        <w:tc>
          <w:tcPr>
            <w:tcW w:w="1859" w:type="dxa"/>
            <w:vMerge/>
            <w:tcBorders>
              <w:top w:val="nil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211A4" w:rsidRDefault="007211A4">
            <w:pPr>
              <w:rPr>
                <w:sz w:val="2"/>
                <w:szCs w:val="2"/>
              </w:rPr>
            </w:pPr>
          </w:p>
        </w:tc>
      </w:tr>
      <w:tr w:rsidR="007211A4">
        <w:trPr>
          <w:trHeight w:val="389"/>
        </w:trPr>
        <w:tc>
          <w:tcPr>
            <w:tcW w:w="4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11A4" w:rsidRDefault="007211A4">
            <w:pPr>
              <w:pStyle w:val="TableParagraph"/>
            </w:pPr>
          </w:p>
        </w:tc>
        <w:tc>
          <w:tcPr>
            <w:tcW w:w="1821" w:type="dxa"/>
            <w:vMerge/>
            <w:tcBorders>
              <w:top w:val="nil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211A4" w:rsidRDefault="007211A4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211A4" w:rsidRDefault="007211A4">
            <w:pPr>
              <w:rPr>
                <w:sz w:val="2"/>
                <w:szCs w:val="2"/>
              </w:rPr>
            </w:pPr>
          </w:p>
        </w:tc>
        <w:tc>
          <w:tcPr>
            <w:tcW w:w="1859" w:type="dxa"/>
            <w:vMerge/>
            <w:tcBorders>
              <w:top w:val="nil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211A4" w:rsidRDefault="007211A4">
            <w:pPr>
              <w:rPr>
                <w:sz w:val="2"/>
                <w:szCs w:val="2"/>
              </w:rPr>
            </w:pPr>
          </w:p>
        </w:tc>
      </w:tr>
    </w:tbl>
    <w:p w:rsidR="007211A4" w:rsidRDefault="008E393F">
      <w:pPr>
        <w:pStyle w:val="Corpodetexto"/>
        <w:spacing w:line="360" w:lineRule="auto"/>
        <w:ind w:left="284" w:right="1549"/>
        <w:jc w:val="both"/>
      </w:pPr>
      <w:r>
        <w:t>*Considerando as alíquotas de contribuição de 1% (um por cento), 2% (dois por cento) ou 3% (três por cento) referentes ao grau de risco de acidente do trabalho, previstas no art. 22, inciso II, da Lei nº 8.212, de 24 de julho de 1991.</w:t>
      </w:r>
    </w:p>
    <w:p w:rsidR="007211A4" w:rsidRDefault="007211A4">
      <w:pPr>
        <w:pStyle w:val="Corpodetexto"/>
        <w:spacing w:before="132"/>
      </w:pPr>
    </w:p>
    <w:p w:rsidR="007211A4" w:rsidRDefault="008E393F">
      <w:pPr>
        <w:pStyle w:val="Corpodetexto"/>
        <w:spacing w:line="360" w:lineRule="auto"/>
        <w:ind w:left="284" w:right="1554"/>
        <w:jc w:val="both"/>
      </w:pPr>
      <w:r>
        <w:rPr>
          <w:b/>
        </w:rPr>
        <w:t xml:space="preserve">§ 2º </w:t>
      </w:r>
      <w:r>
        <w:t>Deverão constar</w:t>
      </w:r>
      <w:r>
        <w:t xml:space="preserve"> no edital de licitação e no contrato os percentuais das rubricas indicadas na tabela do § 1º deste artigo para fins de retenção.</w:t>
      </w:r>
    </w:p>
    <w:p w:rsidR="007211A4" w:rsidRDefault="007211A4">
      <w:pPr>
        <w:pStyle w:val="Corpodetexto"/>
        <w:spacing w:before="137"/>
      </w:pPr>
    </w:p>
    <w:p w:rsidR="007211A4" w:rsidRDefault="008E393F">
      <w:pPr>
        <w:pStyle w:val="Corpodetexto"/>
        <w:spacing w:line="360" w:lineRule="auto"/>
        <w:ind w:left="284" w:right="1551"/>
        <w:jc w:val="both"/>
      </w:pPr>
      <w:r>
        <w:rPr>
          <w:b/>
        </w:rPr>
        <w:t xml:space="preserve">Art. 2º </w:t>
      </w:r>
      <w:r>
        <w:t>Os depósitos de que trata o art. 1º desta norma devem ser efetivados em conta- depósito vinculada – bloqueada para mo</w:t>
      </w:r>
      <w:r>
        <w:t>vimentação – aberta em nome da contratada, unicamente para essa finalidade e com movimentação somente por ordem do TRT7.</w:t>
      </w:r>
    </w:p>
    <w:p w:rsidR="007211A4" w:rsidRDefault="007211A4">
      <w:pPr>
        <w:pStyle w:val="Corpodetexto"/>
        <w:spacing w:before="138"/>
      </w:pPr>
    </w:p>
    <w:p w:rsidR="007211A4" w:rsidRDefault="008E393F">
      <w:pPr>
        <w:pStyle w:val="Corpodetexto"/>
        <w:spacing w:line="360" w:lineRule="auto"/>
        <w:ind w:left="284" w:right="1549" w:hanging="1"/>
        <w:jc w:val="both"/>
      </w:pPr>
      <w:r>
        <w:rPr>
          <w:b/>
        </w:rPr>
        <w:t xml:space="preserve">Parágrafo único. </w:t>
      </w:r>
      <w:r>
        <w:t>O resgate de valores da conta vinculada durante a execução do contrato ocorrerá nos casos previstos nas alíneas 1.5 e 1.6 do Anexo VII-B da IN/SEGES/MP nº 5, de 2017, mediante a autorização do TRT7, que se dará pela expedição de ofício ao banco oficial esc</w:t>
      </w:r>
      <w:r>
        <w:t>olhido pela administração que, por sua vez, noticiará ao TRT7 a movimentação efetivada na conta-depósito vinculada.</w:t>
      </w:r>
    </w:p>
    <w:p w:rsidR="007211A4" w:rsidRDefault="007211A4">
      <w:pPr>
        <w:pStyle w:val="Corpodetexto"/>
        <w:spacing w:before="138"/>
      </w:pPr>
    </w:p>
    <w:p w:rsidR="007211A4" w:rsidRDefault="008E393F">
      <w:pPr>
        <w:pStyle w:val="Corpodetexto"/>
        <w:spacing w:line="360" w:lineRule="auto"/>
        <w:ind w:left="284" w:right="1553"/>
        <w:jc w:val="both"/>
      </w:pPr>
      <w:r>
        <w:rPr>
          <w:b/>
        </w:rPr>
        <w:t xml:space="preserve">Art. 3º </w:t>
      </w:r>
      <w:r>
        <w:t>A assinatura do contrato de prestação de serviço entre o TRT7 e a empresa contratada será sucedida dos seguintes atos:</w:t>
      </w:r>
    </w:p>
    <w:p w:rsidR="007211A4" w:rsidRDefault="008E393F">
      <w:pPr>
        <w:pStyle w:val="PargrafodaLista"/>
        <w:numPr>
          <w:ilvl w:val="0"/>
          <w:numId w:val="1"/>
        </w:numPr>
        <w:tabs>
          <w:tab w:val="left" w:pos="478"/>
        </w:tabs>
        <w:spacing w:line="360" w:lineRule="auto"/>
        <w:ind w:firstLine="0"/>
        <w:jc w:val="both"/>
        <w:rPr>
          <w:sz w:val="24"/>
        </w:rPr>
      </w:pPr>
      <w:r>
        <w:rPr>
          <w:sz w:val="24"/>
        </w:rPr>
        <w:t>– solicitaçã</w:t>
      </w:r>
      <w:r>
        <w:rPr>
          <w:sz w:val="24"/>
        </w:rPr>
        <w:t>o pela Secretaria Administrativa (SADMIN) ao banco oficial, mediante ofício, de abertura de conta-depósito vinculada – bloqueada para movimentação – em nome</w:t>
      </w:r>
      <w:r>
        <w:rPr>
          <w:spacing w:val="31"/>
          <w:sz w:val="24"/>
        </w:rPr>
        <w:t xml:space="preserve"> </w:t>
      </w:r>
      <w:r>
        <w:rPr>
          <w:sz w:val="24"/>
        </w:rPr>
        <w:t>da</w:t>
      </w:r>
      <w:r>
        <w:rPr>
          <w:spacing w:val="31"/>
          <w:sz w:val="24"/>
        </w:rPr>
        <w:t xml:space="preserve"> </w:t>
      </w:r>
      <w:r>
        <w:rPr>
          <w:sz w:val="24"/>
        </w:rPr>
        <w:t>empresa</w:t>
      </w:r>
      <w:r>
        <w:rPr>
          <w:spacing w:val="34"/>
          <w:sz w:val="24"/>
        </w:rPr>
        <w:t xml:space="preserve"> </w:t>
      </w:r>
      <w:r>
        <w:rPr>
          <w:sz w:val="24"/>
        </w:rPr>
        <w:t>contratada,</w:t>
      </w:r>
      <w:r>
        <w:rPr>
          <w:spacing w:val="35"/>
          <w:sz w:val="24"/>
        </w:rPr>
        <w:t xml:space="preserve"> </w:t>
      </w:r>
      <w:r>
        <w:rPr>
          <w:sz w:val="24"/>
        </w:rPr>
        <w:t>conforme</w:t>
      </w:r>
      <w:r>
        <w:rPr>
          <w:spacing w:val="33"/>
          <w:sz w:val="24"/>
        </w:rPr>
        <w:t xml:space="preserve"> </w:t>
      </w:r>
      <w:r>
        <w:rPr>
          <w:sz w:val="24"/>
        </w:rPr>
        <w:t>Termo</w:t>
      </w:r>
      <w:r>
        <w:rPr>
          <w:spacing w:val="35"/>
          <w:sz w:val="24"/>
        </w:rPr>
        <w:t xml:space="preserve"> </w:t>
      </w:r>
      <w:r>
        <w:rPr>
          <w:sz w:val="24"/>
        </w:rPr>
        <w:t>de</w:t>
      </w:r>
      <w:r>
        <w:rPr>
          <w:spacing w:val="31"/>
          <w:sz w:val="24"/>
        </w:rPr>
        <w:t xml:space="preserve"> </w:t>
      </w:r>
      <w:r>
        <w:rPr>
          <w:sz w:val="24"/>
        </w:rPr>
        <w:t>Cooperação</w:t>
      </w:r>
      <w:r>
        <w:rPr>
          <w:spacing w:val="33"/>
          <w:sz w:val="24"/>
        </w:rPr>
        <w:t xml:space="preserve"> </w:t>
      </w:r>
      <w:r>
        <w:rPr>
          <w:sz w:val="24"/>
        </w:rPr>
        <w:t>Técnica,</w:t>
      </w:r>
      <w:r>
        <w:rPr>
          <w:spacing w:val="34"/>
          <w:sz w:val="24"/>
        </w:rPr>
        <w:t xml:space="preserve"> </w:t>
      </w:r>
      <w:r>
        <w:rPr>
          <w:sz w:val="24"/>
        </w:rPr>
        <w:t>Anexo</w:t>
      </w:r>
      <w:r>
        <w:rPr>
          <w:spacing w:val="35"/>
          <w:sz w:val="24"/>
        </w:rPr>
        <w:t xml:space="preserve"> </w:t>
      </w:r>
      <w:r>
        <w:rPr>
          <w:sz w:val="24"/>
        </w:rPr>
        <w:t>I,</w:t>
      </w:r>
      <w:r>
        <w:rPr>
          <w:spacing w:val="35"/>
          <w:sz w:val="24"/>
        </w:rPr>
        <w:t xml:space="preserve"> </w:t>
      </w:r>
      <w:r>
        <w:rPr>
          <w:spacing w:val="-5"/>
          <w:sz w:val="24"/>
        </w:rPr>
        <w:t>do</w:t>
      </w:r>
    </w:p>
    <w:p w:rsidR="007211A4" w:rsidRDefault="007211A4">
      <w:pPr>
        <w:pStyle w:val="PargrafodaLista"/>
        <w:spacing w:line="360" w:lineRule="auto"/>
        <w:rPr>
          <w:sz w:val="24"/>
        </w:rPr>
        <w:sectPr w:rsidR="007211A4">
          <w:type w:val="continuous"/>
          <w:pgSz w:w="11900" w:h="16840"/>
          <w:pgMar w:top="1400" w:right="141" w:bottom="280" w:left="1417" w:header="720" w:footer="720" w:gutter="0"/>
          <w:cols w:space="720"/>
        </w:sectPr>
      </w:pPr>
    </w:p>
    <w:p w:rsidR="007211A4" w:rsidRDefault="008E393F">
      <w:pPr>
        <w:pStyle w:val="Corpodetexto"/>
        <w:spacing w:before="70" w:line="360" w:lineRule="auto"/>
        <w:ind w:left="284" w:right="1551"/>
        <w:jc w:val="both"/>
      </w:pPr>
      <w:r>
        <w:lastRenderedPageBreak/>
        <w:t>Anexo XII-A da IN/SEGES/MP nº 5/2017, devendo, em seguida, a instituição bancária oficiar ao TRT7 sobre a abertura da referida conta-depósito vinculada;</w:t>
      </w:r>
    </w:p>
    <w:p w:rsidR="007211A4" w:rsidRDefault="008E393F">
      <w:pPr>
        <w:pStyle w:val="PargrafodaLista"/>
        <w:numPr>
          <w:ilvl w:val="0"/>
          <w:numId w:val="1"/>
        </w:numPr>
        <w:tabs>
          <w:tab w:val="left" w:pos="284"/>
          <w:tab w:val="left" w:pos="586"/>
        </w:tabs>
        <w:spacing w:line="360" w:lineRule="auto"/>
        <w:ind w:hanging="1"/>
        <w:jc w:val="both"/>
        <w:rPr>
          <w:sz w:val="24"/>
        </w:rPr>
      </w:pPr>
      <w:r>
        <w:rPr>
          <w:sz w:val="24"/>
        </w:rPr>
        <w:t>– assinatura, pela empresa contratada, no prazo de 20 (vinte) dias, a contar da notificação do TRT7, do</w:t>
      </w:r>
      <w:r>
        <w:rPr>
          <w:sz w:val="24"/>
        </w:rPr>
        <w:t>s documentos de abertura da conta-depósito vinculada – bloqueada para movimentação – e de termo específico da instituição bancária que permita</w:t>
      </w:r>
      <w:r>
        <w:rPr>
          <w:spacing w:val="-1"/>
          <w:sz w:val="24"/>
        </w:rPr>
        <w:t xml:space="preserve"> </w:t>
      </w:r>
      <w:r>
        <w:rPr>
          <w:sz w:val="24"/>
        </w:rPr>
        <w:t>ao TRT7 ter acesso aos saldos e extratos, e</w:t>
      </w:r>
      <w:r>
        <w:rPr>
          <w:spacing w:val="-1"/>
          <w:sz w:val="24"/>
        </w:rPr>
        <w:t xml:space="preserve"> </w:t>
      </w:r>
      <w:r>
        <w:rPr>
          <w:sz w:val="24"/>
        </w:rPr>
        <w:t>vincule a</w:t>
      </w:r>
      <w:r>
        <w:rPr>
          <w:spacing w:val="-1"/>
          <w:sz w:val="24"/>
        </w:rPr>
        <w:t xml:space="preserve"> </w:t>
      </w:r>
      <w:r>
        <w:rPr>
          <w:sz w:val="24"/>
        </w:rPr>
        <w:t>movimentação dos valores depositados à autorização do TRT7,</w:t>
      </w:r>
      <w:r>
        <w:rPr>
          <w:sz w:val="24"/>
        </w:rPr>
        <w:t xml:space="preserve"> conforme modelo indicado no Anexo VI do Termo de Cooperação Técnica constante do anexo XII-A da IN/SEGES/MP nº 5/2017.</w:t>
      </w:r>
    </w:p>
    <w:p w:rsidR="007211A4" w:rsidRDefault="007211A4">
      <w:pPr>
        <w:pStyle w:val="Corpodetexto"/>
        <w:spacing w:before="139"/>
      </w:pPr>
    </w:p>
    <w:p w:rsidR="007211A4" w:rsidRDefault="008E393F">
      <w:pPr>
        <w:pStyle w:val="Corpodetexto"/>
        <w:spacing w:before="1" w:line="360" w:lineRule="auto"/>
        <w:ind w:left="284" w:right="1552"/>
        <w:jc w:val="both"/>
      </w:pPr>
      <w:r>
        <w:rPr>
          <w:b/>
        </w:rPr>
        <w:t xml:space="preserve">Art. 4º </w:t>
      </w:r>
      <w:r>
        <w:t>Os saldos da conta vinculada – bloqueada para movimentação – serão remunerados pelo índice de correção da poupança ou por outro</w:t>
      </w:r>
      <w:r>
        <w:t xml:space="preserve"> definido no Termo/Acordo de Cooperação, sempre escolhido o de maior rentabilidade.</w:t>
      </w:r>
    </w:p>
    <w:p w:rsidR="007211A4" w:rsidRDefault="007211A4">
      <w:pPr>
        <w:pStyle w:val="Corpodetexto"/>
        <w:spacing w:before="137"/>
      </w:pPr>
    </w:p>
    <w:p w:rsidR="007211A4" w:rsidRDefault="008E393F">
      <w:pPr>
        <w:pStyle w:val="Corpodetexto"/>
        <w:spacing w:before="1" w:line="360" w:lineRule="auto"/>
        <w:ind w:left="284" w:right="1549"/>
        <w:jc w:val="both"/>
      </w:pPr>
      <w:r>
        <w:rPr>
          <w:b/>
        </w:rPr>
        <w:t xml:space="preserve">Art. 5º </w:t>
      </w:r>
      <w:r>
        <w:t>Os valores referentes às provisões de encargos trabalhistas mencionados no art. 1º deste ato, depositados na conta-depósito vinculada, deixarão de compor o valor d</w:t>
      </w:r>
      <w:r>
        <w:t>o pagamento mensal devido à empresa.</w:t>
      </w:r>
    </w:p>
    <w:p w:rsidR="007211A4" w:rsidRDefault="007211A4">
      <w:pPr>
        <w:pStyle w:val="Corpodetexto"/>
        <w:spacing w:before="138"/>
      </w:pPr>
    </w:p>
    <w:p w:rsidR="007211A4" w:rsidRDefault="008E393F">
      <w:pPr>
        <w:pStyle w:val="Corpodetexto"/>
        <w:spacing w:line="360" w:lineRule="auto"/>
        <w:ind w:left="284" w:right="1551"/>
        <w:jc w:val="both"/>
      </w:pPr>
      <w:r>
        <w:rPr>
          <w:b/>
        </w:rPr>
        <w:t xml:space="preserve">Art. 6º </w:t>
      </w:r>
      <w:r>
        <w:t>Caberá à Seção de Acompanhamento e Gestão de Contratos (SAGC) a verificação dos percentuais das rubricas indicadas no edital de licitação e contrato, o acompanhamento, o controle, a conferência dos cálculos efetuados, a confirmação dos valores e da documen</w:t>
      </w:r>
      <w:r>
        <w:t>tação apresentada e demais verificações pertinentes.</w:t>
      </w:r>
    </w:p>
    <w:p w:rsidR="007211A4" w:rsidRDefault="007211A4">
      <w:pPr>
        <w:pStyle w:val="Corpodetexto"/>
        <w:spacing w:before="137"/>
      </w:pPr>
    </w:p>
    <w:p w:rsidR="007211A4" w:rsidRDefault="008E393F">
      <w:pPr>
        <w:pStyle w:val="Corpodetexto"/>
        <w:spacing w:line="360" w:lineRule="auto"/>
        <w:ind w:left="284" w:right="1552"/>
        <w:jc w:val="both"/>
      </w:pPr>
      <w:r>
        <w:rPr>
          <w:b/>
        </w:rPr>
        <w:t xml:space="preserve">Art. 7º </w:t>
      </w:r>
      <w:r>
        <w:t>Os valores provisionados poderão ser resgatados após o pagamento de despesas com verbas trabalhistas e previdenciárias dos empregados que prestam os serviços contratados pelo TRT7.</w:t>
      </w:r>
    </w:p>
    <w:p w:rsidR="007211A4" w:rsidRDefault="007211A4">
      <w:pPr>
        <w:pStyle w:val="Corpodetexto"/>
        <w:spacing w:before="138"/>
      </w:pPr>
    </w:p>
    <w:p w:rsidR="007211A4" w:rsidRDefault="008E393F">
      <w:pPr>
        <w:pStyle w:val="Corpodetexto"/>
        <w:spacing w:line="360" w:lineRule="auto"/>
        <w:ind w:left="284" w:right="1549"/>
        <w:jc w:val="both"/>
      </w:pPr>
      <w:r>
        <w:rPr>
          <w:b/>
        </w:rPr>
        <w:t xml:space="preserve">§ 1º </w:t>
      </w:r>
      <w:r>
        <w:t xml:space="preserve">Para a </w:t>
      </w:r>
      <w:r>
        <w:t>liberação dos recursos da conta-depósito vinculada, a empresa deverá apresentar planilha de cálculo, bem como os documentos comprobatórios de pagamento das</w:t>
      </w:r>
      <w:r>
        <w:rPr>
          <w:spacing w:val="-2"/>
        </w:rPr>
        <w:t xml:space="preserve"> </w:t>
      </w:r>
      <w:r>
        <w:t>verbas</w:t>
      </w:r>
      <w:r>
        <w:rPr>
          <w:spacing w:val="-2"/>
        </w:rPr>
        <w:t xml:space="preserve"> </w:t>
      </w:r>
      <w:r>
        <w:t>trabalhistas e</w:t>
      </w:r>
      <w:r>
        <w:rPr>
          <w:spacing w:val="-1"/>
        </w:rPr>
        <w:t xml:space="preserve"> </w:t>
      </w:r>
      <w:r>
        <w:t>previdenciárias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estejam</w:t>
      </w:r>
      <w:r>
        <w:rPr>
          <w:spacing w:val="-2"/>
        </w:rPr>
        <w:t xml:space="preserve"> </w:t>
      </w:r>
      <w:r>
        <w:t>contempladas</w:t>
      </w:r>
      <w:r>
        <w:rPr>
          <w:spacing w:val="-2"/>
        </w:rPr>
        <w:t xml:space="preserve"> </w:t>
      </w:r>
      <w:r>
        <w:t>nas</w:t>
      </w:r>
      <w:r>
        <w:rPr>
          <w:spacing w:val="-2"/>
        </w:rPr>
        <w:t xml:space="preserve"> </w:t>
      </w:r>
      <w:r>
        <w:t>mesmas</w:t>
      </w:r>
      <w:r>
        <w:rPr>
          <w:spacing w:val="-2"/>
        </w:rPr>
        <w:t xml:space="preserve"> </w:t>
      </w:r>
      <w:r>
        <w:t>rubricas indicadas no art.</w:t>
      </w:r>
      <w:r>
        <w:t xml:space="preserve"> 1º deste ato.</w:t>
      </w:r>
    </w:p>
    <w:p w:rsidR="007211A4" w:rsidRDefault="007211A4">
      <w:pPr>
        <w:pStyle w:val="Corpodetexto"/>
        <w:spacing w:before="137"/>
      </w:pPr>
    </w:p>
    <w:p w:rsidR="007211A4" w:rsidRDefault="008E393F">
      <w:pPr>
        <w:pStyle w:val="Corpodetexto"/>
        <w:spacing w:line="360" w:lineRule="auto"/>
        <w:ind w:left="284" w:right="1549"/>
        <w:jc w:val="both"/>
      </w:pPr>
      <w:r>
        <w:rPr>
          <w:b/>
        </w:rPr>
        <w:t xml:space="preserve">§ 2º </w:t>
      </w:r>
      <w:r>
        <w:t>Recebido o pedido da empresa, a Seção de Acompanhamento e Gestão de</w:t>
      </w:r>
      <w:r>
        <w:rPr>
          <w:spacing w:val="40"/>
        </w:rPr>
        <w:t xml:space="preserve"> </w:t>
      </w:r>
      <w:r>
        <w:t>Contratos (SAGC), no prazo de 8 (oito) dias úteis contados do recebimento do pedido, conferirá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documentação</w:t>
      </w:r>
      <w:r>
        <w:rPr>
          <w:spacing w:val="11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cálculos</w:t>
      </w:r>
      <w:r>
        <w:rPr>
          <w:spacing w:val="11"/>
        </w:rPr>
        <w:t xml:space="preserve"> </w:t>
      </w:r>
      <w:r>
        <w:t>apresentados</w:t>
      </w:r>
      <w:r>
        <w:rPr>
          <w:spacing w:val="11"/>
        </w:rPr>
        <w:t xml:space="preserve"> </w:t>
      </w:r>
      <w:r>
        <w:t>pela</w:t>
      </w:r>
      <w:r>
        <w:rPr>
          <w:spacing w:val="10"/>
        </w:rPr>
        <w:t xml:space="preserve"> </w:t>
      </w:r>
      <w:r>
        <w:t>requerente,</w:t>
      </w:r>
      <w:r>
        <w:rPr>
          <w:spacing w:val="11"/>
        </w:rPr>
        <w:t xml:space="preserve"> </w:t>
      </w:r>
      <w:r>
        <w:t>confirmará</w:t>
      </w:r>
      <w:r>
        <w:rPr>
          <w:spacing w:val="10"/>
        </w:rPr>
        <w:t xml:space="preserve"> </w:t>
      </w:r>
      <w:r>
        <w:t>se</w:t>
      </w:r>
      <w:r>
        <w:rPr>
          <w:spacing w:val="11"/>
        </w:rPr>
        <w:t xml:space="preserve"> </w:t>
      </w:r>
      <w:r>
        <w:rPr>
          <w:spacing w:val="-5"/>
        </w:rPr>
        <w:t>os</w:t>
      </w:r>
    </w:p>
    <w:p w:rsidR="007211A4" w:rsidRDefault="007211A4">
      <w:pPr>
        <w:pStyle w:val="Corpodetexto"/>
        <w:spacing w:line="360" w:lineRule="auto"/>
        <w:jc w:val="both"/>
        <w:sectPr w:rsidR="007211A4">
          <w:pgSz w:w="11900" w:h="16840"/>
          <w:pgMar w:top="1340" w:right="141" w:bottom="280" w:left="1417" w:header="720" w:footer="720" w:gutter="0"/>
          <w:cols w:space="720"/>
        </w:sectPr>
      </w:pPr>
    </w:p>
    <w:p w:rsidR="007211A4" w:rsidRDefault="008E393F">
      <w:pPr>
        <w:pStyle w:val="Corpodetexto"/>
        <w:spacing w:before="70" w:line="360" w:lineRule="auto"/>
        <w:ind w:left="284" w:right="1552"/>
        <w:jc w:val="both"/>
      </w:pPr>
      <w:r>
        <w:lastRenderedPageBreak/>
        <w:t>empregos listados pela contratada efetivamente prestam serviços nas dependências do contratante e, ato contínuo, emitirá parecer ao Ordenador ou à Ordenadora de Despesas quanto ao acolhimento ou à denegação do pleito.</w:t>
      </w:r>
    </w:p>
    <w:p w:rsidR="007211A4" w:rsidRDefault="007211A4">
      <w:pPr>
        <w:pStyle w:val="Corpodetexto"/>
        <w:spacing w:before="138"/>
      </w:pPr>
    </w:p>
    <w:p w:rsidR="007211A4" w:rsidRDefault="008E393F">
      <w:pPr>
        <w:pStyle w:val="Corpodetexto"/>
        <w:spacing w:line="360" w:lineRule="auto"/>
        <w:ind w:left="284" w:right="1551"/>
        <w:jc w:val="both"/>
      </w:pPr>
      <w:r>
        <w:rPr>
          <w:b/>
        </w:rPr>
        <w:t xml:space="preserve">§ 3º </w:t>
      </w:r>
      <w:r>
        <w:t>O Ordenador ou</w:t>
      </w:r>
      <w:r>
        <w:t xml:space="preserve"> a Ordenadora de Despesas terá 2 (dois) dias úteis, a partir do recebimento do parecer para apreciar o pleito e eventualmente autorizar o resgate ou a movimentação dos recursos, conforme anexo IV do Termo de Cooperação Técnica previsto no Anexo XII-A da IN</w:t>
      </w:r>
      <w:r>
        <w:t>/SEGES/MP nº 5/2017.</w:t>
      </w:r>
    </w:p>
    <w:p w:rsidR="007211A4" w:rsidRDefault="007211A4">
      <w:pPr>
        <w:pStyle w:val="Corpodetexto"/>
        <w:spacing w:before="139"/>
      </w:pPr>
    </w:p>
    <w:p w:rsidR="007211A4" w:rsidRDefault="008E393F">
      <w:pPr>
        <w:pStyle w:val="Corpodetexto"/>
        <w:spacing w:before="1" w:line="360" w:lineRule="auto"/>
        <w:ind w:left="284" w:right="1552" w:hanging="1"/>
        <w:jc w:val="both"/>
      </w:pPr>
      <w:r>
        <w:rPr>
          <w:b/>
        </w:rPr>
        <w:t xml:space="preserve">Art. 8º </w:t>
      </w:r>
      <w:r>
        <w:t>O saldo remanescente dos recursos depositados na conta-depósito vinculada – bloqueada para movimentação – será liberado à empresa no momento do encerramento do contrato, após a comprovação da quitação de todos os encargos trab</w:t>
      </w:r>
      <w:r>
        <w:t>alhistas e previdenciários relativos ao serviço contratado.</w:t>
      </w:r>
    </w:p>
    <w:p w:rsidR="007211A4" w:rsidRDefault="007211A4">
      <w:pPr>
        <w:pStyle w:val="Corpodetexto"/>
        <w:spacing w:before="136"/>
      </w:pPr>
    </w:p>
    <w:p w:rsidR="007211A4" w:rsidRDefault="008E393F">
      <w:pPr>
        <w:pStyle w:val="Corpodetexto"/>
        <w:spacing w:line="360" w:lineRule="auto"/>
        <w:ind w:left="284" w:right="1551"/>
        <w:jc w:val="both"/>
      </w:pPr>
      <w:r>
        <w:rPr>
          <w:b/>
        </w:rPr>
        <w:t xml:space="preserve">Art. 9º </w:t>
      </w:r>
      <w:r>
        <w:t xml:space="preserve">Os editais e contratos referentes às contratações de serviços com previsão de locação de mão de obra residente nas dependências do TRT7 deverão conter expressamente o disposto no art. 5º </w:t>
      </w:r>
      <w:r>
        <w:t>desta norma, bem como a obrigatoriedade de observância dos demais termos deste Ato e guardar conformidade com as Resoluções CNJ nº 98/2019 e 169/2013 e alterações, subsidiariamente com a Instrução No</w:t>
      </w:r>
      <w:r>
        <w:rPr>
          <w:b/>
        </w:rPr>
        <w:t>r</w:t>
      </w:r>
      <w:r>
        <w:t>mativa/SEGES/MP nº 05/2017.</w:t>
      </w:r>
    </w:p>
    <w:p w:rsidR="007211A4" w:rsidRDefault="007211A4">
      <w:pPr>
        <w:pStyle w:val="Corpodetexto"/>
        <w:spacing w:before="140"/>
      </w:pPr>
    </w:p>
    <w:p w:rsidR="007211A4" w:rsidRDefault="008E393F">
      <w:pPr>
        <w:pStyle w:val="Corpodetexto"/>
        <w:ind w:left="284"/>
      </w:pPr>
      <w:r>
        <w:rPr>
          <w:b/>
        </w:rPr>
        <w:t>Art.</w:t>
      </w:r>
      <w:r>
        <w:rPr>
          <w:b/>
          <w:spacing w:val="-7"/>
        </w:rPr>
        <w:t xml:space="preserve"> </w:t>
      </w:r>
      <w:r>
        <w:rPr>
          <w:b/>
        </w:rPr>
        <w:t>10.</w:t>
      </w:r>
      <w:r>
        <w:rPr>
          <w:b/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casos</w:t>
      </w:r>
      <w:r>
        <w:rPr>
          <w:spacing w:val="-6"/>
        </w:rPr>
        <w:t xml:space="preserve"> </w:t>
      </w:r>
      <w:r>
        <w:t>omissos</w:t>
      </w:r>
      <w:r>
        <w:rPr>
          <w:spacing w:val="-6"/>
        </w:rPr>
        <w:t xml:space="preserve"> </w:t>
      </w:r>
      <w:r>
        <w:t>serão</w:t>
      </w:r>
      <w:r>
        <w:rPr>
          <w:spacing w:val="-6"/>
        </w:rPr>
        <w:t xml:space="preserve"> </w:t>
      </w:r>
      <w:r>
        <w:t>resolvidos</w:t>
      </w:r>
      <w:r>
        <w:rPr>
          <w:spacing w:val="-6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Presidência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rPr>
          <w:spacing w:val="-2"/>
        </w:rPr>
        <w:t>TRT7.</w:t>
      </w:r>
    </w:p>
    <w:p w:rsidR="007211A4" w:rsidRDefault="007211A4">
      <w:pPr>
        <w:pStyle w:val="Corpodetexto"/>
      </w:pPr>
    </w:p>
    <w:p w:rsidR="007211A4" w:rsidRDefault="007211A4">
      <w:pPr>
        <w:pStyle w:val="Corpodetexto"/>
      </w:pPr>
    </w:p>
    <w:p w:rsidR="007211A4" w:rsidRDefault="008E393F">
      <w:pPr>
        <w:pStyle w:val="Corpodetexto"/>
        <w:ind w:left="284"/>
      </w:pPr>
      <w:r>
        <w:rPr>
          <w:b/>
        </w:rPr>
        <w:t>Art.</w:t>
      </w:r>
      <w:r>
        <w:rPr>
          <w:b/>
          <w:spacing w:val="-5"/>
        </w:rPr>
        <w:t xml:space="preserve"> </w:t>
      </w:r>
      <w:r>
        <w:rPr>
          <w:b/>
        </w:rPr>
        <w:t>11.</w:t>
      </w:r>
      <w:r>
        <w:rPr>
          <w:b/>
          <w:spacing w:val="-5"/>
        </w:rPr>
        <w:t xml:space="preserve"> </w:t>
      </w:r>
      <w:r>
        <w:t>Revoga-se</w:t>
      </w:r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Ato</w:t>
      </w:r>
      <w:r>
        <w:rPr>
          <w:spacing w:val="-3"/>
        </w:rPr>
        <w:t xml:space="preserve"> </w:t>
      </w:r>
      <w:r>
        <w:t>TRT7.GP</w:t>
      </w:r>
      <w:r>
        <w:rPr>
          <w:spacing w:val="-4"/>
        </w:rPr>
        <w:t xml:space="preserve"> </w:t>
      </w:r>
      <w:r>
        <w:t>nº</w:t>
      </w:r>
      <w:r>
        <w:rPr>
          <w:spacing w:val="-5"/>
        </w:rPr>
        <w:t xml:space="preserve"> </w:t>
      </w:r>
      <w:r>
        <w:t>82,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11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março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2016.</w:t>
      </w:r>
    </w:p>
    <w:p w:rsidR="007211A4" w:rsidRDefault="007211A4">
      <w:pPr>
        <w:pStyle w:val="Corpodetexto"/>
      </w:pPr>
    </w:p>
    <w:p w:rsidR="007211A4" w:rsidRDefault="007211A4">
      <w:pPr>
        <w:pStyle w:val="Corpodetexto"/>
      </w:pPr>
    </w:p>
    <w:p w:rsidR="007211A4" w:rsidRDefault="008E393F">
      <w:pPr>
        <w:pStyle w:val="Corpodetexto"/>
        <w:ind w:left="284"/>
      </w:pPr>
      <w:r>
        <w:rPr>
          <w:b/>
        </w:rPr>
        <w:t>Art.</w:t>
      </w:r>
      <w:r>
        <w:rPr>
          <w:b/>
          <w:spacing w:val="-4"/>
        </w:rPr>
        <w:t xml:space="preserve"> </w:t>
      </w:r>
      <w:r>
        <w:rPr>
          <w:b/>
        </w:rPr>
        <w:t>12.</w:t>
      </w:r>
      <w:r>
        <w:rPr>
          <w:b/>
          <w:spacing w:val="-4"/>
        </w:rPr>
        <w:t xml:space="preserve"> </w:t>
      </w:r>
      <w:r>
        <w:t>Este</w:t>
      </w:r>
      <w:r>
        <w:rPr>
          <w:spacing w:val="-3"/>
        </w:rPr>
        <w:t xml:space="preserve"> </w:t>
      </w:r>
      <w:r>
        <w:t>ato</w:t>
      </w:r>
      <w:r>
        <w:rPr>
          <w:spacing w:val="-4"/>
        </w:rPr>
        <w:t xml:space="preserve"> </w:t>
      </w:r>
      <w:r>
        <w:t>entra</w:t>
      </w:r>
      <w:r>
        <w:rPr>
          <w:spacing w:val="-3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vigor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sua</w:t>
      </w:r>
      <w:r>
        <w:rPr>
          <w:spacing w:val="-5"/>
        </w:rPr>
        <w:t xml:space="preserve"> </w:t>
      </w:r>
      <w:r>
        <w:rPr>
          <w:spacing w:val="-2"/>
        </w:rPr>
        <w:t>publicação.</w:t>
      </w:r>
    </w:p>
    <w:p w:rsidR="007211A4" w:rsidRDefault="007211A4">
      <w:pPr>
        <w:pStyle w:val="Corpodetexto"/>
      </w:pPr>
    </w:p>
    <w:p w:rsidR="007211A4" w:rsidRDefault="007211A4">
      <w:pPr>
        <w:pStyle w:val="Corpodetexto"/>
        <w:spacing w:before="5"/>
      </w:pPr>
    </w:p>
    <w:p w:rsidR="007211A4" w:rsidRDefault="008E393F">
      <w:pPr>
        <w:pStyle w:val="Heading1"/>
      </w:pPr>
      <w:r>
        <w:rPr>
          <w:spacing w:val="-4"/>
        </w:rPr>
        <w:t>PUBLIQUE-</w:t>
      </w:r>
      <w:r>
        <w:rPr>
          <w:spacing w:val="-5"/>
        </w:rPr>
        <w:t>SE.</w:t>
      </w:r>
    </w:p>
    <w:p w:rsidR="007211A4" w:rsidRDefault="007211A4">
      <w:pPr>
        <w:pStyle w:val="Corpodetexto"/>
        <w:spacing w:before="269"/>
        <w:rPr>
          <w:b/>
        </w:rPr>
      </w:pPr>
    </w:p>
    <w:p w:rsidR="007211A4" w:rsidRDefault="008E393F">
      <w:pPr>
        <w:pStyle w:val="Corpodetexto"/>
        <w:ind w:left="284"/>
      </w:pPr>
      <w:r>
        <w:t>Fortaleza,</w:t>
      </w:r>
      <w:r>
        <w:rPr>
          <w:spacing w:val="-5"/>
        </w:rPr>
        <w:t xml:space="preserve"> </w:t>
      </w:r>
      <w:r>
        <w:t>29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março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2021.</w:t>
      </w:r>
    </w:p>
    <w:p w:rsidR="007211A4" w:rsidRDefault="007211A4">
      <w:pPr>
        <w:pStyle w:val="Corpodetexto"/>
      </w:pPr>
    </w:p>
    <w:p w:rsidR="007211A4" w:rsidRDefault="007211A4">
      <w:pPr>
        <w:pStyle w:val="Corpodetexto"/>
        <w:spacing w:before="4"/>
      </w:pPr>
    </w:p>
    <w:p w:rsidR="008E393F" w:rsidRDefault="008E393F">
      <w:pPr>
        <w:pStyle w:val="Corpodetexto"/>
        <w:spacing w:before="4"/>
      </w:pPr>
      <w:r>
        <w:t>______________________________________</w:t>
      </w:r>
    </w:p>
    <w:p w:rsidR="007211A4" w:rsidRDefault="008E393F" w:rsidP="008E393F">
      <w:pPr>
        <w:pStyle w:val="Corpodetexto"/>
        <w:spacing w:before="134"/>
        <w:ind w:left="284"/>
        <w:rPr>
          <w:sz w:val="20"/>
        </w:rPr>
      </w:pPr>
      <w:r>
        <w:t xml:space="preserve">         </w:t>
      </w:r>
      <w:r>
        <w:t>Presidente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Tribunal</w:t>
      </w:r>
    </w:p>
    <w:sectPr w:rsidR="007211A4" w:rsidSect="007211A4">
      <w:pgSz w:w="11900" w:h="16840"/>
      <w:pgMar w:top="1940" w:right="141" w:bottom="280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F107D"/>
    <w:multiLevelType w:val="hybridMultilevel"/>
    <w:tmpl w:val="AC560F1E"/>
    <w:lvl w:ilvl="0" w:tplc="55E0E162">
      <w:start w:val="1"/>
      <w:numFmt w:val="upperRoman"/>
      <w:lvlText w:val="%1"/>
      <w:lvlJc w:val="left"/>
      <w:pPr>
        <w:ind w:left="284" w:hanging="19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 w:tplc="FBEE7F3C">
      <w:numFmt w:val="bullet"/>
      <w:lvlText w:val="•"/>
      <w:lvlJc w:val="left"/>
      <w:pPr>
        <w:ind w:left="1286" w:hanging="195"/>
      </w:pPr>
      <w:rPr>
        <w:rFonts w:hint="default"/>
        <w:lang w:val="pt-PT" w:eastAsia="en-US" w:bidi="ar-SA"/>
      </w:rPr>
    </w:lvl>
    <w:lvl w:ilvl="2" w:tplc="ADE0DC44">
      <w:numFmt w:val="bullet"/>
      <w:lvlText w:val="•"/>
      <w:lvlJc w:val="left"/>
      <w:pPr>
        <w:ind w:left="2292" w:hanging="195"/>
      </w:pPr>
      <w:rPr>
        <w:rFonts w:hint="default"/>
        <w:lang w:val="pt-PT" w:eastAsia="en-US" w:bidi="ar-SA"/>
      </w:rPr>
    </w:lvl>
    <w:lvl w:ilvl="3" w:tplc="D9F88DCE">
      <w:numFmt w:val="bullet"/>
      <w:lvlText w:val="•"/>
      <w:lvlJc w:val="left"/>
      <w:pPr>
        <w:ind w:left="3298" w:hanging="195"/>
      </w:pPr>
      <w:rPr>
        <w:rFonts w:hint="default"/>
        <w:lang w:val="pt-PT" w:eastAsia="en-US" w:bidi="ar-SA"/>
      </w:rPr>
    </w:lvl>
    <w:lvl w:ilvl="4" w:tplc="94E22716">
      <w:numFmt w:val="bullet"/>
      <w:lvlText w:val="•"/>
      <w:lvlJc w:val="left"/>
      <w:pPr>
        <w:ind w:left="4304" w:hanging="195"/>
      </w:pPr>
      <w:rPr>
        <w:rFonts w:hint="default"/>
        <w:lang w:val="pt-PT" w:eastAsia="en-US" w:bidi="ar-SA"/>
      </w:rPr>
    </w:lvl>
    <w:lvl w:ilvl="5" w:tplc="EC5E6384">
      <w:numFmt w:val="bullet"/>
      <w:lvlText w:val="•"/>
      <w:lvlJc w:val="left"/>
      <w:pPr>
        <w:ind w:left="5311" w:hanging="195"/>
      </w:pPr>
      <w:rPr>
        <w:rFonts w:hint="default"/>
        <w:lang w:val="pt-PT" w:eastAsia="en-US" w:bidi="ar-SA"/>
      </w:rPr>
    </w:lvl>
    <w:lvl w:ilvl="6" w:tplc="52EED4B4">
      <w:numFmt w:val="bullet"/>
      <w:lvlText w:val="•"/>
      <w:lvlJc w:val="left"/>
      <w:pPr>
        <w:ind w:left="6317" w:hanging="195"/>
      </w:pPr>
      <w:rPr>
        <w:rFonts w:hint="default"/>
        <w:lang w:val="pt-PT" w:eastAsia="en-US" w:bidi="ar-SA"/>
      </w:rPr>
    </w:lvl>
    <w:lvl w:ilvl="7" w:tplc="88443376">
      <w:numFmt w:val="bullet"/>
      <w:lvlText w:val="•"/>
      <w:lvlJc w:val="left"/>
      <w:pPr>
        <w:ind w:left="7323" w:hanging="195"/>
      </w:pPr>
      <w:rPr>
        <w:rFonts w:hint="default"/>
        <w:lang w:val="pt-PT" w:eastAsia="en-US" w:bidi="ar-SA"/>
      </w:rPr>
    </w:lvl>
    <w:lvl w:ilvl="8" w:tplc="84C60C34">
      <w:numFmt w:val="bullet"/>
      <w:lvlText w:val="•"/>
      <w:lvlJc w:val="left"/>
      <w:pPr>
        <w:ind w:left="8329" w:hanging="195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7211A4"/>
    <w:rsid w:val="007211A4"/>
    <w:rsid w:val="008E3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211A4"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11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7211A4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7211A4"/>
    <w:pPr>
      <w:ind w:left="284"/>
      <w:outlineLvl w:val="1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7211A4"/>
    <w:pPr>
      <w:ind w:left="284" w:right="1551" w:hanging="1"/>
      <w:jc w:val="both"/>
    </w:pPr>
  </w:style>
  <w:style w:type="paragraph" w:customStyle="1" w:styleId="TableParagraph">
    <w:name w:val="Table Paragraph"/>
    <w:basedOn w:val="Normal"/>
    <w:uiPriority w:val="1"/>
    <w:qFormat/>
    <w:rsid w:val="007211A4"/>
  </w:style>
  <w:style w:type="paragraph" w:styleId="Textodebalo">
    <w:name w:val="Balloon Text"/>
    <w:basedOn w:val="Normal"/>
    <w:link w:val="TextodebaloChar"/>
    <w:uiPriority w:val="99"/>
    <w:semiHidden/>
    <w:unhideWhenUsed/>
    <w:rsid w:val="008E393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E393F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FD005-1883-4FA6-93DD-576638C7F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1446</Words>
  <Characters>7811</Characters>
  <Application>Microsoft Office Word</Application>
  <DocSecurity>0</DocSecurity>
  <Lines>65</Lines>
  <Paragraphs>18</Paragraphs>
  <ScaleCrop>false</ScaleCrop>
  <Company>Tribunal Regional do Trabalho da 7a Regiao</Company>
  <LinksUpToDate>false</LinksUpToDate>
  <CharactersWithSpaces>9239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 - Conta Vinculada para Quitação de Obrigações Trabalhistas</dc:title>
  <dc:creator>luizjm</dc:creator>
  <cp:lastModifiedBy>Usuário do Windows</cp:lastModifiedBy>
  <cp:revision>2</cp:revision>
  <dcterms:created xsi:type="dcterms:W3CDTF">2025-09-16T11:31:00Z</dcterms:created>
  <dcterms:modified xsi:type="dcterms:W3CDTF">2025-09-16T11:50:00Z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2024-04-05T00:00:00Z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2025-09-16T00:00:00Z</vt:filetime>
  </property>
  <property fmtid="{D5CDD505-2E9C-101B-9397-08002B2CF9AE}" pid="5" name="Producer">
    <vt:lpwstr>GPL Ghostscript 9.10</vt:lpwstr>
  </property>
</Properties>
</file>